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58" w:rsidRPr="002728F9" w:rsidRDefault="00B51458" w:rsidP="00B51458">
      <w:pPr>
        <w:jc w:val="center"/>
        <w:rPr>
          <w:b/>
          <w:bCs/>
          <w:lang w:val="az-Latn-AZ"/>
        </w:rPr>
      </w:pPr>
      <w:bookmarkStart w:id="0" w:name="_GoBack"/>
      <w:bookmarkEnd w:id="0"/>
      <w:r w:rsidRPr="002728F9">
        <w:rPr>
          <w:b/>
          <w:bCs/>
          <w:lang w:val="az-Latn-AZ"/>
        </w:rPr>
        <w:t>Sudan istifadə və tullantı sularının axıdılması üzrə tariflər</w:t>
      </w:r>
    </w:p>
    <w:p w:rsidR="00B51458" w:rsidRPr="002728F9" w:rsidRDefault="00B51458" w:rsidP="00B51458">
      <w:pPr>
        <w:jc w:val="center"/>
        <w:rPr>
          <w:b/>
          <w:bCs/>
          <w:lang w:val="az-Latn-AZ"/>
        </w:rPr>
      </w:pPr>
      <w:r w:rsidRPr="002728F9">
        <w:rPr>
          <w:b/>
          <w:bCs/>
          <w:lang w:val="az-Latn-AZ"/>
        </w:rPr>
        <w:t>Sudan istifadə və tullantı sularının axıdılması xidmətləri üzrə istehlakçı qruplarının tarifləri</w:t>
      </w:r>
    </w:p>
    <w:p w:rsidR="004E696B" w:rsidRPr="002728F9" w:rsidRDefault="004E696B" w:rsidP="00B51458">
      <w:pPr>
        <w:jc w:val="center"/>
        <w:rPr>
          <w:lang w:val="az-Latn-AZ"/>
        </w:rPr>
      </w:pPr>
    </w:p>
    <w:p w:rsidR="005171F2" w:rsidRPr="002728F9" w:rsidRDefault="004E696B" w:rsidP="005171F2">
      <w:pPr>
        <w:rPr>
          <w:b/>
          <w:bCs/>
          <w:lang w:val="az-Latn-AZ"/>
        </w:rPr>
      </w:pPr>
      <w:r w:rsidRPr="002728F9">
        <w:rPr>
          <w:b/>
          <w:color w:val="000000"/>
          <w:lang w:val="az-Latn-AZ"/>
        </w:rPr>
        <w:t>“Azərsu” Səhmdar Cəmiyyətinin sudan istifadə və tullantı sularının axıdılması xidmətlərinin tarifləri</w:t>
      </w:r>
    </w:p>
    <w:tbl>
      <w:tblPr>
        <w:tblW w:w="9372" w:type="dxa"/>
        <w:jc w:val="center"/>
        <w:tblInd w:w="108" w:type="dxa"/>
        <w:tblCellMar>
          <w:left w:w="0" w:type="dxa"/>
          <w:right w:w="0" w:type="dxa"/>
        </w:tblCellMar>
        <w:tblLook w:val="0000" w:firstRow="0" w:lastRow="0" w:firstColumn="0" w:lastColumn="0" w:noHBand="0" w:noVBand="0"/>
      </w:tblPr>
      <w:tblGrid>
        <w:gridCol w:w="703"/>
        <w:gridCol w:w="1551"/>
        <w:gridCol w:w="4322"/>
        <w:gridCol w:w="1006"/>
        <w:gridCol w:w="1790"/>
      </w:tblGrid>
      <w:tr w:rsidR="005171F2" w:rsidRPr="002728F9">
        <w:trPr>
          <w:trHeight w:val="1403"/>
          <w:jc w:val="center"/>
        </w:trPr>
        <w:tc>
          <w:tcPr>
            <w:tcW w:w="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Sıra</w:t>
            </w:r>
          </w:p>
          <w:p w:rsidR="005171F2" w:rsidRPr="002728F9" w:rsidRDefault="005171F2" w:rsidP="005171F2">
            <w:pPr>
              <w:rPr>
                <w:bCs/>
              </w:rPr>
            </w:pPr>
            <w:r w:rsidRPr="002728F9">
              <w:rPr>
                <w:bCs/>
                <w:lang w:val="az-Latn-AZ"/>
              </w:rPr>
              <w:t>№-si</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Xidmətlərin növü</w:t>
            </w:r>
          </w:p>
        </w:tc>
        <w:tc>
          <w:tcPr>
            <w:tcW w:w="4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İstehlakçı qrupları</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Ölçü vahidi</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Tariflər,</w:t>
            </w:r>
          </w:p>
          <w:p w:rsidR="005171F2" w:rsidRPr="002728F9" w:rsidRDefault="005171F2" w:rsidP="005171F2">
            <w:pPr>
              <w:rPr>
                <w:bCs/>
              </w:rPr>
            </w:pPr>
            <w:r w:rsidRPr="002728F9">
              <w:rPr>
                <w:bCs/>
                <w:lang w:val="az-Latn-AZ"/>
              </w:rPr>
              <w:t>(ƏDV ilə, manatla)</w:t>
            </w:r>
          </w:p>
        </w:tc>
      </w:tr>
      <w:tr w:rsidR="005171F2" w:rsidRPr="002728F9">
        <w:trPr>
          <w:trHeight w:val="340"/>
          <w:jc w:val="center"/>
        </w:trPr>
        <w:tc>
          <w:tcPr>
            <w:tcW w:w="7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I.</w:t>
            </w:r>
          </w:p>
        </w:tc>
        <w:tc>
          <w:tcPr>
            <w:tcW w:w="15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Su təchizatı</w:t>
            </w: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1. Əhali, o cümlədən</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 </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 </w:t>
            </w:r>
          </w:p>
        </w:tc>
      </w:tr>
      <w:tr w:rsidR="005171F2" w:rsidRPr="002728F9">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5171F2" w:rsidRPr="002728F9" w:rsidRDefault="005171F2" w:rsidP="005171F2">
            <w:pPr>
              <w:rPr>
                <w:bCs/>
              </w:rPr>
            </w:pPr>
          </w:p>
        </w:tc>
        <w:tc>
          <w:tcPr>
            <w:tcW w:w="0" w:type="auto"/>
            <w:vMerge/>
            <w:tcBorders>
              <w:top w:val="nil"/>
              <w:left w:val="nil"/>
              <w:bottom w:val="single" w:sz="8" w:space="0" w:color="auto"/>
              <w:right w:val="single" w:sz="8" w:space="0" w:color="auto"/>
            </w:tcBorders>
            <w:vAlign w:val="center"/>
          </w:tcPr>
          <w:p w:rsidR="005171F2" w:rsidRPr="002728F9" w:rsidRDefault="005171F2" w:rsidP="005171F2">
            <w:pPr>
              <w:rPr>
                <w:bCs/>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1.1. Bakı, Sumqayıt, Gəncə, Mingəçevir, Şirvan, Xırdalan şəhərləri və Abşeron rayonu</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0,30</w:t>
            </w:r>
          </w:p>
        </w:tc>
      </w:tr>
      <w:tr w:rsidR="005171F2" w:rsidRPr="002728F9">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5171F2" w:rsidRPr="002728F9" w:rsidRDefault="005171F2" w:rsidP="005171F2">
            <w:pPr>
              <w:rPr>
                <w:bCs/>
              </w:rPr>
            </w:pPr>
          </w:p>
        </w:tc>
        <w:tc>
          <w:tcPr>
            <w:tcW w:w="0" w:type="auto"/>
            <w:vMerge/>
            <w:tcBorders>
              <w:top w:val="nil"/>
              <w:left w:val="nil"/>
              <w:bottom w:val="single" w:sz="8" w:space="0" w:color="auto"/>
              <w:right w:val="single" w:sz="8" w:space="0" w:color="auto"/>
            </w:tcBorders>
            <w:vAlign w:val="center"/>
          </w:tcPr>
          <w:p w:rsidR="005171F2" w:rsidRPr="002728F9" w:rsidRDefault="005171F2" w:rsidP="005171F2">
            <w:pPr>
              <w:rPr>
                <w:bCs/>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1.2. Digər regionlar</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0,25</w:t>
            </w:r>
          </w:p>
        </w:tc>
      </w:tr>
      <w:tr w:rsidR="005171F2" w:rsidRPr="002728F9">
        <w:trPr>
          <w:trHeight w:val="383"/>
          <w:jc w:val="center"/>
        </w:trPr>
        <w:tc>
          <w:tcPr>
            <w:tcW w:w="0" w:type="auto"/>
            <w:vMerge/>
            <w:tcBorders>
              <w:top w:val="nil"/>
              <w:left w:val="single" w:sz="8" w:space="0" w:color="auto"/>
              <w:bottom w:val="single" w:sz="8" w:space="0" w:color="auto"/>
              <w:right w:val="single" w:sz="8" w:space="0" w:color="auto"/>
            </w:tcBorders>
            <w:vAlign w:val="center"/>
          </w:tcPr>
          <w:p w:rsidR="005171F2" w:rsidRPr="002728F9" w:rsidRDefault="005171F2" w:rsidP="005171F2">
            <w:pPr>
              <w:rPr>
                <w:bCs/>
              </w:rPr>
            </w:pPr>
          </w:p>
        </w:tc>
        <w:tc>
          <w:tcPr>
            <w:tcW w:w="0" w:type="auto"/>
            <w:vMerge/>
            <w:tcBorders>
              <w:top w:val="nil"/>
              <w:left w:val="nil"/>
              <w:bottom w:val="single" w:sz="8" w:space="0" w:color="auto"/>
              <w:right w:val="single" w:sz="8" w:space="0" w:color="auto"/>
            </w:tcBorders>
            <w:vAlign w:val="center"/>
          </w:tcPr>
          <w:p w:rsidR="005171F2" w:rsidRPr="002728F9" w:rsidRDefault="005171F2" w:rsidP="005171F2">
            <w:pPr>
              <w:rPr>
                <w:bCs/>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2. Digər sahələr</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1,0</w:t>
            </w:r>
          </w:p>
        </w:tc>
      </w:tr>
      <w:tr w:rsidR="005171F2" w:rsidRPr="002728F9">
        <w:trPr>
          <w:trHeight w:val="420"/>
          <w:jc w:val="center"/>
        </w:trPr>
        <w:tc>
          <w:tcPr>
            <w:tcW w:w="0" w:type="auto"/>
            <w:vMerge/>
            <w:tcBorders>
              <w:top w:val="nil"/>
              <w:left w:val="single" w:sz="8" w:space="0" w:color="auto"/>
              <w:bottom w:val="single" w:sz="8" w:space="0" w:color="auto"/>
              <w:right w:val="single" w:sz="8" w:space="0" w:color="auto"/>
            </w:tcBorders>
            <w:vAlign w:val="center"/>
          </w:tcPr>
          <w:p w:rsidR="005171F2" w:rsidRPr="002728F9" w:rsidRDefault="005171F2" w:rsidP="005171F2">
            <w:pPr>
              <w:rPr>
                <w:bCs/>
              </w:rPr>
            </w:pPr>
          </w:p>
        </w:tc>
        <w:tc>
          <w:tcPr>
            <w:tcW w:w="0" w:type="auto"/>
            <w:vMerge/>
            <w:tcBorders>
              <w:top w:val="nil"/>
              <w:left w:val="nil"/>
              <w:bottom w:val="single" w:sz="8" w:space="0" w:color="auto"/>
              <w:right w:val="single" w:sz="8" w:space="0" w:color="auto"/>
            </w:tcBorders>
            <w:vAlign w:val="center"/>
          </w:tcPr>
          <w:p w:rsidR="005171F2" w:rsidRPr="002728F9" w:rsidRDefault="005171F2" w:rsidP="005171F2">
            <w:pPr>
              <w:rPr>
                <w:bCs/>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3. Sudan xammal kimi istifadə edənlər</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12,0</w:t>
            </w:r>
          </w:p>
        </w:tc>
      </w:tr>
      <w:tr w:rsidR="005171F2" w:rsidRPr="002728F9">
        <w:trPr>
          <w:trHeight w:val="340"/>
          <w:jc w:val="center"/>
        </w:trPr>
        <w:tc>
          <w:tcPr>
            <w:tcW w:w="70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II.</w:t>
            </w:r>
          </w:p>
        </w:tc>
        <w:tc>
          <w:tcPr>
            <w:tcW w:w="15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Tullantı suların axıdılması</w:t>
            </w: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1. Əhali</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0,06</w:t>
            </w:r>
          </w:p>
        </w:tc>
      </w:tr>
      <w:tr w:rsidR="005171F2" w:rsidRPr="002728F9">
        <w:trPr>
          <w:trHeight w:val="383"/>
          <w:jc w:val="center"/>
        </w:trPr>
        <w:tc>
          <w:tcPr>
            <w:tcW w:w="0" w:type="auto"/>
            <w:vMerge/>
            <w:tcBorders>
              <w:top w:val="nil"/>
              <w:left w:val="single" w:sz="8" w:space="0" w:color="auto"/>
              <w:bottom w:val="single" w:sz="8" w:space="0" w:color="auto"/>
              <w:right w:val="single" w:sz="8" w:space="0" w:color="auto"/>
            </w:tcBorders>
            <w:vAlign w:val="center"/>
          </w:tcPr>
          <w:p w:rsidR="005171F2" w:rsidRPr="002728F9" w:rsidRDefault="005171F2" w:rsidP="005171F2">
            <w:pPr>
              <w:rPr>
                <w:bCs/>
              </w:rPr>
            </w:pPr>
          </w:p>
        </w:tc>
        <w:tc>
          <w:tcPr>
            <w:tcW w:w="0" w:type="auto"/>
            <w:vMerge/>
            <w:tcBorders>
              <w:top w:val="nil"/>
              <w:left w:val="nil"/>
              <w:bottom w:val="single" w:sz="8" w:space="0" w:color="auto"/>
              <w:right w:val="single" w:sz="8" w:space="0" w:color="auto"/>
            </w:tcBorders>
            <w:vAlign w:val="center"/>
          </w:tcPr>
          <w:p w:rsidR="005171F2" w:rsidRPr="002728F9" w:rsidRDefault="005171F2" w:rsidP="005171F2">
            <w:pPr>
              <w:rPr>
                <w:bCs/>
              </w:rPr>
            </w:pPr>
          </w:p>
        </w:tc>
        <w:tc>
          <w:tcPr>
            <w:tcW w:w="4322" w:type="dxa"/>
            <w:tcBorders>
              <w:top w:val="nil"/>
              <w:left w:val="nil"/>
              <w:bottom w:val="single" w:sz="8" w:space="0" w:color="auto"/>
              <w:right w:val="single" w:sz="8" w:space="0" w:color="auto"/>
            </w:tcBorders>
            <w:tcMar>
              <w:top w:w="0" w:type="dxa"/>
              <w:left w:w="108" w:type="dxa"/>
              <w:bottom w:w="0" w:type="dxa"/>
              <w:right w:w="108" w:type="dxa"/>
            </w:tcMar>
          </w:tcPr>
          <w:p w:rsidR="005171F2" w:rsidRPr="002728F9" w:rsidRDefault="005171F2" w:rsidP="005171F2">
            <w:pPr>
              <w:rPr>
                <w:bCs/>
              </w:rPr>
            </w:pPr>
            <w:r w:rsidRPr="002728F9">
              <w:rPr>
                <w:bCs/>
                <w:lang w:val="az-Latn-AZ"/>
              </w:rPr>
              <w:t>2. Digər sahələr</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 m</w:t>
            </w:r>
            <w:r w:rsidRPr="002728F9">
              <w:rPr>
                <w:bCs/>
                <w:vertAlign w:val="superscript"/>
                <w:lang w:val="az-Latn-AZ"/>
              </w:rPr>
              <w:t>3</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0,30</w:t>
            </w:r>
          </w:p>
        </w:tc>
      </w:tr>
    </w:tbl>
    <w:p w:rsidR="005171F2" w:rsidRPr="002728F9" w:rsidRDefault="005171F2" w:rsidP="005171F2">
      <w:pPr>
        <w:rPr>
          <w:b/>
          <w:bCs/>
        </w:rPr>
      </w:pPr>
      <w:r w:rsidRPr="002728F9">
        <w:rPr>
          <w:b/>
          <w:bCs/>
          <w:lang w:val="az-Latn-AZ"/>
        </w:rPr>
        <w:t> </w:t>
      </w:r>
    </w:p>
    <w:p w:rsidR="005171F2" w:rsidRPr="002728F9" w:rsidRDefault="005171F2" w:rsidP="005171F2">
      <w:pPr>
        <w:rPr>
          <w:b/>
          <w:bCs/>
          <w:lang w:val="az-Latn-AZ"/>
        </w:rPr>
      </w:pPr>
      <w:r w:rsidRPr="002728F9">
        <w:rPr>
          <w:b/>
          <w:bCs/>
          <w:lang w:val="az-Latn-AZ"/>
        </w:rPr>
        <w:t xml:space="preserve">“Azərsu” Səhmdar Cəmiyyətinin sudan istifadə və tullantı sularının axıdılması xidmətləri üzrə istehlakçı qruplarının təsnifatı” </w:t>
      </w:r>
    </w:p>
    <w:p w:rsidR="005171F2" w:rsidRPr="002728F9" w:rsidRDefault="005171F2" w:rsidP="005171F2">
      <w:pPr>
        <w:rPr>
          <w:b/>
          <w:bCs/>
          <w:lang w:val="az-Latn-AZ"/>
        </w:rPr>
      </w:pPr>
      <w:r w:rsidRPr="002728F9">
        <w:rPr>
          <w:b/>
          <w:bCs/>
          <w:lang w:val="az-Latn-AZ"/>
        </w:rPr>
        <w:t> </w:t>
      </w:r>
    </w:p>
    <w:tbl>
      <w:tblPr>
        <w:tblW w:w="9675" w:type="dxa"/>
        <w:jc w:val="center"/>
        <w:tblCellMar>
          <w:left w:w="0" w:type="dxa"/>
          <w:right w:w="0" w:type="dxa"/>
        </w:tblCellMar>
        <w:tblLook w:val="0000" w:firstRow="0" w:lastRow="0" w:firstColumn="0" w:lastColumn="0" w:noHBand="0" w:noVBand="0"/>
      </w:tblPr>
      <w:tblGrid>
        <w:gridCol w:w="880"/>
        <w:gridCol w:w="8795"/>
      </w:tblGrid>
      <w:tr w:rsidR="005171F2" w:rsidRPr="002728F9">
        <w:trPr>
          <w:jc w:val="center"/>
        </w:trPr>
        <w:tc>
          <w:tcPr>
            <w:tcW w:w="4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Sıra</w:t>
            </w:r>
          </w:p>
          <w:p w:rsidR="005171F2" w:rsidRPr="002728F9" w:rsidRDefault="005171F2" w:rsidP="005171F2">
            <w:pPr>
              <w:rPr>
                <w:bCs/>
              </w:rPr>
            </w:pPr>
            <w:r w:rsidRPr="002728F9">
              <w:rPr>
                <w:bCs/>
                <w:lang w:val="az-Latn-AZ"/>
              </w:rPr>
              <w:t>№-si</w:t>
            </w:r>
          </w:p>
        </w:tc>
        <w:tc>
          <w:tcPr>
            <w:tcW w:w="454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İstehlakçı qrupların adı</w:t>
            </w:r>
          </w:p>
        </w:tc>
      </w:tr>
      <w:tr w:rsidR="005171F2" w:rsidRPr="002728F9">
        <w:trPr>
          <w:jc w:val="center"/>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
                <w:bCs/>
              </w:rPr>
            </w:pPr>
            <w:r w:rsidRPr="002728F9">
              <w:rPr>
                <w:b/>
                <w:bCs/>
                <w:lang w:val="az-Latn-AZ"/>
              </w:rPr>
              <w:t>I qrup istehlakçılar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Əhali</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1.1.</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Yaşayış mənzilləri, fərdi yaşayış evləri, yataqxanalar, yaşayış binalarındakı mənzildənkənar köməkçi sahələr, təsərrüfat tikililəri, fərdi qarajlar, bağ və həyətyanı sahələr</w:t>
            </w:r>
          </w:p>
        </w:tc>
      </w:tr>
      <w:tr w:rsidR="005171F2" w:rsidRPr="002728F9">
        <w:trPr>
          <w:jc w:val="center"/>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Qeyd: 1 bəndində göstərilən mənzillərdən və binalardan istehsal, xidmət və ticarət məqsədləri üçün istifadə olunursa və ya həmin mənzillər və binalar gəlir əldə etmək məqsədi ilə fiziki və hüquqi şəxslərə icarəyə verilərsə, onda istifadə olunan suyun və axıdılan tullantı suların haqqı uyğun qrup istehlakçılar üçün nəzərdə tutulmuş tariflə ödənilməlidir.</w:t>
            </w:r>
          </w:p>
        </w:tc>
      </w:tr>
      <w:tr w:rsidR="005171F2" w:rsidRPr="002728F9">
        <w:trPr>
          <w:jc w:val="center"/>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
                <w:bCs/>
              </w:rPr>
            </w:pPr>
            <w:r w:rsidRPr="002728F9">
              <w:rPr>
                <w:b/>
                <w:bCs/>
                <w:lang w:val="az-Latn-AZ"/>
              </w:rPr>
              <w:t>II qrup istehlakçılar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2.</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Digər sahələr (büdcə təşkilatları, istehsalçılar, ticarət və xidmət sahələri, digər hüquqi və fiziki şəxslər)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2.1.</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lang w:val="en-US"/>
              </w:rPr>
            </w:pPr>
            <w:r w:rsidRPr="002728F9">
              <w:rPr>
                <w:bCs/>
                <w:lang w:val="az-Latn-AZ"/>
              </w:rPr>
              <w:t>I və III qruplara aid olmayan bütün istehlakçılar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lang w:val="en-US"/>
              </w:rPr>
            </w:pPr>
            <w:r w:rsidRPr="002728F9">
              <w:rPr>
                <w:bCs/>
                <w:lang w:val="az-Latn-AZ"/>
              </w:rPr>
              <w:t> </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
                <w:bCs/>
              </w:rPr>
            </w:pPr>
            <w:r w:rsidRPr="002728F9">
              <w:rPr>
                <w:b/>
                <w:bCs/>
                <w:lang w:val="az-Latn-AZ"/>
              </w:rPr>
              <w:t>III qrup istehlakçılar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3.</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Sudan xammal kimi istifadə edənlər</w:t>
            </w:r>
          </w:p>
        </w:tc>
      </w:tr>
      <w:tr w:rsidR="005171F2" w:rsidRPr="002728F9">
        <w:trPr>
          <w:jc w:val="center"/>
        </w:trPr>
        <w:tc>
          <w:tcPr>
            <w:tcW w:w="45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171F2" w:rsidRPr="002728F9" w:rsidRDefault="005171F2" w:rsidP="005171F2">
            <w:pPr>
              <w:rPr>
                <w:bCs/>
              </w:rPr>
            </w:pPr>
            <w:r w:rsidRPr="002728F9">
              <w:rPr>
                <w:bCs/>
                <w:lang w:val="az-Latn-AZ"/>
              </w:rPr>
              <w:t>3.1.</w:t>
            </w:r>
          </w:p>
        </w:tc>
        <w:tc>
          <w:tcPr>
            <w:tcW w:w="4545" w:type="pct"/>
            <w:tcBorders>
              <w:top w:val="nil"/>
              <w:left w:val="nil"/>
              <w:bottom w:val="single" w:sz="8" w:space="0" w:color="000000"/>
              <w:right w:val="single" w:sz="8" w:space="0" w:color="000000"/>
            </w:tcBorders>
            <w:tcMar>
              <w:top w:w="0" w:type="dxa"/>
              <w:left w:w="108" w:type="dxa"/>
              <w:bottom w:w="0" w:type="dxa"/>
              <w:right w:w="108" w:type="dxa"/>
            </w:tcMar>
          </w:tcPr>
          <w:p w:rsidR="005171F2" w:rsidRPr="002728F9" w:rsidRDefault="005171F2" w:rsidP="005171F2">
            <w:pPr>
              <w:rPr>
                <w:bCs/>
              </w:rPr>
            </w:pPr>
            <w:r w:rsidRPr="002728F9">
              <w:rPr>
                <w:bCs/>
                <w:lang w:val="az-Latn-AZ"/>
              </w:rPr>
              <w:t>Sudan xammal kimi istifadə etməklə pivə, spirtli və spirtsiz içkilər istehsal edən sahələr</w:t>
            </w:r>
          </w:p>
        </w:tc>
      </w:tr>
    </w:tbl>
    <w:p w:rsidR="00EA507A" w:rsidRPr="002728F9" w:rsidRDefault="00EA507A">
      <w:pPr>
        <w:rPr>
          <w:lang w:val="az-Latn-AZ"/>
        </w:rPr>
      </w:pPr>
    </w:p>
    <w:p w:rsidR="00B51458" w:rsidRPr="002728F9" w:rsidRDefault="00EA507A">
      <w:pPr>
        <w:rPr>
          <w:lang w:val="az-Latn-AZ"/>
        </w:rPr>
      </w:pPr>
      <w:r w:rsidRPr="002728F9">
        <w:rPr>
          <w:lang w:val="az-Latn-AZ"/>
        </w:rPr>
        <w:t>Sayğac quraşdırılmamış mənzillərdə adambaşına su istehlakı norması - 5 m3</w:t>
      </w:r>
      <w:r w:rsidR="002728F9">
        <w:rPr>
          <w:lang w:val="az-Latn-AZ"/>
        </w:rPr>
        <w:t>-dir</w:t>
      </w:r>
    </w:p>
    <w:p w:rsidR="00EA507A" w:rsidRPr="002728F9" w:rsidRDefault="00EA507A">
      <w:pPr>
        <w:rPr>
          <w:lang w:val="az-Latn-AZ"/>
        </w:rPr>
      </w:pPr>
    </w:p>
    <w:p w:rsidR="00D02676" w:rsidRPr="002728F9" w:rsidRDefault="00D02676" w:rsidP="00D02676">
      <w:pPr>
        <w:rPr>
          <w:i/>
          <w:iCs/>
          <w:lang w:val="az-Latn-AZ"/>
        </w:rPr>
      </w:pPr>
      <w:r w:rsidRPr="002728F9">
        <w:rPr>
          <w:b/>
          <w:bCs/>
          <w:lang w:val="az-Latn-AZ"/>
        </w:rPr>
        <w:t>Qeyd:</w:t>
      </w:r>
      <w:r w:rsidRPr="002728F9">
        <w:rPr>
          <w:lang w:val="az-Latn-AZ"/>
        </w:rPr>
        <w:t> </w:t>
      </w:r>
      <w:r w:rsidRPr="002728F9">
        <w:rPr>
          <w:i/>
          <w:iCs/>
          <w:lang w:val="az-Latn-AZ"/>
        </w:rPr>
        <w:t>Azərbaycan Respublikasinin Tarif (Qiymət) Şurasının 6 yanvar 2007-ci il tarixli 6 saylı Qərarı ilə təsdiq edilib və 8 yanvar 2007-ci ildən qüvvədədir</w:t>
      </w:r>
    </w:p>
    <w:p w:rsidR="00E14DE9" w:rsidRDefault="00E14DE9" w:rsidP="00E14DE9">
      <w:pPr>
        <w:rPr>
          <w:i/>
          <w:iCs/>
          <w:lang w:val="az-Latn-AZ"/>
        </w:rPr>
      </w:pPr>
    </w:p>
    <w:p w:rsidR="0022740D" w:rsidRPr="00643312" w:rsidRDefault="0022740D" w:rsidP="0022740D">
      <w:pPr>
        <w:rPr>
          <w:b/>
          <w:lang w:val="az-Latn-AZ"/>
        </w:rPr>
      </w:pPr>
      <w:r>
        <w:rPr>
          <w:b/>
          <w:i/>
          <w:iCs/>
          <w:lang w:val="az-Latn-AZ"/>
        </w:rPr>
        <w:lastRenderedPageBreak/>
        <w:t xml:space="preserve">Bu </w:t>
      </w:r>
      <w:r w:rsidRPr="00643312">
        <w:rPr>
          <w:b/>
          <w:i/>
          <w:iCs/>
          <w:lang w:val="az-Latn-AZ"/>
        </w:rPr>
        <w:t>qərar</w:t>
      </w:r>
      <w:r>
        <w:rPr>
          <w:b/>
          <w:i/>
          <w:iCs/>
          <w:lang w:val="az-Latn-AZ"/>
        </w:rPr>
        <w:t>da</w:t>
      </w:r>
      <w:r w:rsidRPr="00643312">
        <w:rPr>
          <w:b/>
          <w:i/>
          <w:iCs/>
          <w:lang w:val="az-Latn-AZ"/>
        </w:rPr>
        <w:t xml:space="preserve"> </w:t>
      </w:r>
      <w:r w:rsidRPr="0022740D">
        <w:rPr>
          <w:b/>
          <w:i/>
          <w:lang w:val="az-Latn-AZ"/>
        </w:rPr>
        <w:t xml:space="preserve">31 yanvar 2011-ci </w:t>
      </w:r>
      <w:r w:rsidRPr="00643312">
        <w:rPr>
          <w:b/>
          <w:i/>
          <w:iCs/>
          <w:lang w:val="az-Latn-AZ"/>
        </w:rPr>
        <w:t>il</w:t>
      </w:r>
      <w:r>
        <w:rPr>
          <w:b/>
          <w:i/>
          <w:iCs/>
          <w:lang w:val="az-Latn-AZ"/>
        </w:rPr>
        <w:t xml:space="preserve"> tarixə olan bütün son dəyişikliklər nəzərə alınıb. </w:t>
      </w:r>
    </w:p>
    <w:p w:rsidR="0022740D" w:rsidRDefault="0022740D" w:rsidP="00E14DE9">
      <w:pPr>
        <w:rPr>
          <w:i/>
          <w:iCs/>
          <w:lang w:val="az-Latn-AZ"/>
        </w:rPr>
      </w:pPr>
    </w:p>
    <w:p w:rsidR="00E14DE9" w:rsidRPr="002728F9" w:rsidRDefault="00E14DE9" w:rsidP="00D02676">
      <w:pPr>
        <w:rPr>
          <w:i/>
          <w:iCs/>
          <w:lang w:val="az-Latn-AZ"/>
        </w:rPr>
      </w:pPr>
    </w:p>
    <w:p w:rsidR="00D02676" w:rsidRPr="002728F9" w:rsidRDefault="00D02676" w:rsidP="00D02676">
      <w:pPr>
        <w:rPr>
          <w:i/>
          <w:iCs/>
          <w:lang w:val="az-Latn-AZ"/>
        </w:rPr>
      </w:pPr>
    </w:p>
    <w:sectPr w:rsidR="00D02676" w:rsidRPr="00272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58"/>
    <w:rsid w:val="001446E1"/>
    <w:rsid w:val="0022740D"/>
    <w:rsid w:val="00227C6D"/>
    <w:rsid w:val="002728F9"/>
    <w:rsid w:val="004E696B"/>
    <w:rsid w:val="005171F2"/>
    <w:rsid w:val="00B51458"/>
    <w:rsid w:val="00BF372C"/>
    <w:rsid w:val="00D02676"/>
    <w:rsid w:val="00E14DE9"/>
    <w:rsid w:val="00EA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458"/>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4E6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458"/>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4E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80808">
      <w:bodyDiv w:val="1"/>
      <w:marLeft w:val="0"/>
      <w:marRight w:val="0"/>
      <w:marTop w:val="0"/>
      <w:marBottom w:val="0"/>
      <w:divBdr>
        <w:top w:val="none" w:sz="0" w:space="0" w:color="auto"/>
        <w:left w:val="none" w:sz="0" w:space="0" w:color="auto"/>
        <w:bottom w:val="none" w:sz="0" w:space="0" w:color="auto"/>
        <w:right w:val="none" w:sz="0" w:space="0" w:color="auto"/>
      </w:divBdr>
    </w:div>
    <w:div w:id="1525555966">
      <w:bodyDiv w:val="1"/>
      <w:marLeft w:val="0"/>
      <w:marRight w:val="0"/>
      <w:marTop w:val="0"/>
      <w:marBottom w:val="0"/>
      <w:divBdr>
        <w:top w:val="none" w:sz="0" w:space="0" w:color="auto"/>
        <w:left w:val="none" w:sz="0" w:space="0" w:color="auto"/>
        <w:bottom w:val="none" w:sz="0" w:space="0" w:color="auto"/>
        <w:right w:val="none" w:sz="0" w:space="0" w:color="auto"/>
      </w:divBdr>
    </w:div>
    <w:div w:id="2017267888">
      <w:bodyDiv w:val="1"/>
      <w:marLeft w:val="0"/>
      <w:marRight w:val="0"/>
      <w:marTop w:val="0"/>
      <w:marBottom w:val="0"/>
      <w:divBdr>
        <w:top w:val="none" w:sz="0" w:space="0" w:color="auto"/>
        <w:left w:val="none" w:sz="0" w:space="0" w:color="auto"/>
        <w:bottom w:val="none" w:sz="0" w:space="0" w:color="auto"/>
        <w:right w:val="none" w:sz="0" w:space="0" w:color="auto"/>
      </w:divBdr>
    </w:div>
    <w:div w:id="20372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Sudan istifadə və tullantı sularının axıdılması üzrə tariflər</vt:lpstr>
    </vt:vector>
  </TitlesOfParts>
  <Company>@</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istifadə və tullantı sularının axıdılması üzrə tariflər</dc:title>
  <dc:creator>nz</dc:creator>
  <cp:lastModifiedBy>nz</cp:lastModifiedBy>
  <cp:revision>1</cp:revision>
  <dcterms:created xsi:type="dcterms:W3CDTF">2013-02-05T20:38:00Z</dcterms:created>
  <dcterms:modified xsi:type="dcterms:W3CDTF">2013-02-05T20:39:00Z</dcterms:modified>
</cp:coreProperties>
</file>