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89" w:rsidRDefault="00B14A89" w:rsidP="00B14A89">
      <w:pPr>
        <w:jc w:val="center"/>
        <w:rPr>
          <w:b/>
          <w:bCs/>
          <w:lang w:val="az-Latn-AZ"/>
        </w:rPr>
      </w:pPr>
      <w:bookmarkStart w:id="0" w:name="_GoBack"/>
      <w:bookmarkEnd w:id="0"/>
      <w:r w:rsidRPr="00215D69">
        <w:rPr>
          <w:b/>
          <w:bCs/>
          <w:lang w:val="az-Latn-AZ"/>
        </w:rPr>
        <w:t>Sabit şəbəkə telefonlarından beynəlxalq telefon danışıqlarının tarifləri</w:t>
      </w:r>
    </w:p>
    <w:p w:rsidR="00AB5F14" w:rsidRPr="00215D69" w:rsidRDefault="00AB5F14" w:rsidP="00B14A89">
      <w:pPr>
        <w:jc w:val="center"/>
        <w:rPr>
          <w:b/>
          <w:bCs/>
          <w:lang w:val="az-Latn-AZ"/>
        </w:rPr>
      </w:pPr>
    </w:p>
    <w:tbl>
      <w:tblPr>
        <w:tblW w:w="0" w:type="auto"/>
        <w:tblCellSpacing w:w="0" w:type="dxa"/>
        <w:tblBorders>
          <w:top w:val="outset" w:sz="6" w:space="0" w:color="5D5E5F"/>
          <w:left w:val="outset" w:sz="6" w:space="0" w:color="5D5E5F"/>
          <w:bottom w:val="outset" w:sz="6" w:space="0" w:color="5D5E5F"/>
          <w:right w:val="outset" w:sz="6" w:space="0" w:color="5D5E5F"/>
        </w:tblBorders>
        <w:tblCellMar>
          <w:top w:w="45" w:type="dxa"/>
          <w:left w:w="45" w:type="dxa"/>
          <w:bottom w:w="45" w:type="dxa"/>
          <w:right w:w="45" w:type="dxa"/>
        </w:tblCellMar>
        <w:tblLook w:val="0000" w:firstRow="0" w:lastRow="0" w:firstColumn="0" w:lastColumn="0" w:noHBand="0" w:noVBand="0"/>
      </w:tblPr>
      <w:tblGrid>
        <w:gridCol w:w="625"/>
        <w:gridCol w:w="1912"/>
        <w:gridCol w:w="2141"/>
        <w:gridCol w:w="1725"/>
        <w:gridCol w:w="1414"/>
        <w:gridCol w:w="1628"/>
      </w:tblGrid>
      <w:tr w:rsidR="00B14A89" w:rsidRPr="00215D69" w:rsidTr="00B14A89">
        <w:trPr>
          <w:tblCellSpacing w:w="0" w:type="dxa"/>
        </w:trPr>
        <w:tc>
          <w:tcPr>
            <w:tcW w:w="0" w:type="auto"/>
            <w:tcBorders>
              <w:top w:val="nil"/>
              <w:left w:val="nil"/>
              <w:bottom w:val="nil"/>
              <w:right w:val="nil"/>
            </w:tcBorders>
            <w:vAlign w:val="center"/>
          </w:tcPr>
          <w:p w:rsidR="00B14A89" w:rsidRPr="00215D69" w:rsidRDefault="00B14A89" w:rsidP="00B14A89">
            <w:pPr>
              <w:jc w:val="center"/>
            </w:pPr>
            <w:proofErr w:type="spellStart"/>
            <w:r w:rsidRPr="00215D69">
              <w:t>Sıra</w:t>
            </w:r>
            <w:proofErr w:type="spellEnd"/>
            <w:r w:rsidRPr="00215D69">
              <w:t xml:space="preserve"> №-</w:t>
            </w:r>
            <w:proofErr w:type="spellStart"/>
            <w:r w:rsidRPr="00215D69">
              <w:t>si</w:t>
            </w:r>
            <w:proofErr w:type="spellEnd"/>
          </w:p>
        </w:tc>
        <w:tc>
          <w:tcPr>
            <w:tcW w:w="0" w:type="auto"/>
            <w:tcBorders>
              <w:top w:val="nil"/>
              <w:left w:val="nil"/>
              <w:bottom w:val="nil"/>
              <w:right w:val="nil"/>
            </w:tcBorders>
            <w:vAlign w:val="center"/>
          </w:tcPr>
          <w:p w:rsidR="00B14A89" w:rsidRPr="00215D69" w:rsidRDefault="00B14A89" w:rsidP="00B14A89">
            <w:pPr>
              <w:jc w:val="center"/>
            </w:pPr>
            <w:proofErr w:type="spellStart"/>
            <w:r w:rsidRPr="00215D69">
              <w:t>Zonalar</w:t>
            </w:r>
            <w:proofErr w:type="spellEnd"/>
          </w:p>
        </w:tc>
        <w:tc>
          <w:tcPr>
            <w:tcW w:w="0" w:type="auto"/>
            <w:tcBorders>
              <w:top w:val="nil"/>
              <w:left w:val="nil"/>
              <w:bottom w:val="nil"/>
              <w:right w:val="nil"/>
            </w:tcBorders>
            <w:vAlign w:val="center"/>
          </w:tcPr>
          <w:p w:rsidR="00B14A89" w:rsidRPr="00215D69" w:rsidRDefault="00B14A89" w:rsidP="00B14A89">
            <w:pPr>
              <w:jc w:val="center"/>
            </w:pPr>
            <w:proofErr w:type="spellStart"/>
            <w:r w:rsidRPr="00215D69">
              <w:t>Tariflər</w:t>
            </w:r>
            <w:proofErr w:type="spellEnd"/>
            <w:r w:rsidRPr="00215D69">
              <w:t xml:space="preserve">, 1 </w:t>
            </w:r>
            <w:proofErr w:type="spellStart"/>
            <w:r w:rsidRPr="00215D69">
              <w:t>dəqiqə</w:t>
            </w:r>
            <w:proofErr w:type="spellEnd"/>
            <w:r w:rsidRPr="00215D69">
              <w:t xml:space="preserve"> </w:t>
            </w:r>
            <w:proofErr w:type="spellStart"/>
            <w:r w:rsidRPr="00215D69">
              <w:t>üçün</w:t>
            </w:r>
            <w:proofErr w:type="spellEnd"/>
            <w:r w:rsidRPr="00215D69">
              <w:t xml:space="preserve"> (ƏDV </w:t>
            </w:r>
            <w:proofErr w:type="spellStart"/>
            <w:r w:rsidRPr="00215D69">
              <w:t>daxil</w:t>
            </w:r>
            <w:proofErr w:type="spellEnd"/>
            <w:r w:rsidRPr="00215D69">
              <w:t xml:space="preserve"> </w:t>
            </w:r>
            <w:proofErr w:type="spellStart"/>
            <w:r w:rsidRPr="00215D69">
              <w:t>olmaqla</w:t>
            </w:r>
            <w:proofErr w:type="spellEnd"/>
            <w:r w:rsidRPr="00215D69">
              <w:t xml:space="preserve">), </w:t>
            </w:r>
            <w:proofErr w:type="spellStart"/>
            <w:r w:rsidRPr="00215D69">
              <w:t>qəpik</w:t>
            </w:r>
            <w:proofErr w:type="spellEnd"/>
          </w:p>
        </w:tc>
        <w:tc>
          <w:tcPr>
            <w:tcW w:w="0" w:type="auto"/>
            <w:tcBorders>
              <w:top w:val="nil"/>
              <w:left w:val="nil"/>
              <w:bottom w:val="nil"/>
              <w:right w:val="nil"/>
            </w:tcBorders>
            <w:vAlign w:val="center"/>
          </w:tcPr>
          <w:p w:rsidR="00B14A89" w:rsidRPr="00215D69" w:rsidRDefault="00B14A89" w:rsidP="00B14A89">
            <w:pPr>
              <w:jc w:val="center"/>
            </w:pPr>
            <w:r w:rsidRPr="00215D69">
              <w:t xml:space="preserve">1 </w:t>
            </w:r>
            <w:proofErr w:type="spellStart"/>
            <w:r w:rsidRPr="00215D69">
              <w:t>dəqiqədə</w:t>
            </w:r>
            <w:proofErr w:type="spellEnd"/>
            <w:r w:rsidRPr="00215D69">
              <w:t xml:space="preserve"> </w:t>
            </w:r>
            <w:proofErr w:type="spellStart"/>
            <w:r w:rsidRPr="00215D69">
              <w:t>olan</w:t>
            </w:r>
            <w:proofErr w:type="spellEnd"/>
            <w:r w:rsidRPr="00215D69">
              <w:t xml:space="preserve"> </w:t>
            </w:r>
            <w:proofErr w:type="spellStart"/>
            <w:r w:rsidRPr="00215D69">
              <w:t>konturların</w:t>
            </w:r>
            <w:proofErr w:type="spellEnd"/>
            <w:r w:rsidRPr="00215D69">
              <w:t xml:space="preserve"> </w:t>
            </w:r>
            <w:proofErr w:type="spellStart"/>
            <w:r w:rsidRPr="00215D69">
              <w:t>sayı</w:t>
            </w:r>
            <w:proofErr w:type="spellEnd"/>
          </w:p>
        </w:tc>
        <w:tc>
          <w:tcPr>
            <w:tcW w:w="0" w:type="auto"/>
            <w:tcBorders>
              <w:top w:val="nil"/>
              <w:left w:val="nil"/>
              <w:bottom w:val="nil"/>
              <w:right w:val="nil"/>
            </w:tcBorders>
            <w:vAlign w:val="center"/>
          </w:tcPr>
          <w:p w:rsidR="00B14A89" w:rsidRPr="00215D69" w:rsidRDefault="00B14A89" w:rsidP="00B14A89">
            <w:pPr>
              <w:jc w:val="center"/>
            </w:pPr>
            <w:r w:rsidRPr="00215D69">
              <w:t xml:space="preserve">1 </w:t>
            </w:r>
            <w:proofErr w:type="spellStart"/>
            <w:r w:rsidRPr="00215D69">
              <w:t>konturun</w:t>
            </w:r>
            <w:proofErr w:type="spellEnd"/>
            <w:r w:rsidRPr="00215D69">
              <w:t xml:space="preserve"> </w:t>
            </w:r>
            <w:proofErr w:type="spellStart"/>
            <w:r w:rsidRPr="00215D69">
              <w:t>qiyməti</w:t>
            </w:r>
            <w:proofErr w:type="spellEnd"/>
            <w:r w:rsidRPr="00215D69">
              <w:t xml:space="preserve">, </w:t>
            </w:r>
            <w:proofErr w:type="spellStart"/>
            <w:r w:rsidRPr="00215D69">
              <w:t>qəpik</w:t>
            </w:r>
            <w:proofErr w:type="spellEnd"/>
          </w:p>
        </w:tc>
        <w:tc>
          <w:tcPr>
            <w:tcW w:w="0" w:type="auto"/>
            <w:tcBorders>
              <w:top w:val="nil"/>
              <w:left w:val="nil"/>
              <w:bottom w:val="nil"/>
              <w:right w:val="nil"/>
            </w:tcBorders>
            <w:vAlign w:val="center"/>
          </w:tcPr>
          <w:p w:rsidR="00B14A89" w:rsidRPr="00215D69" w:rsidRDefault="00B14A89" w:rsidP="00B14A89">
            <w:pPr>
              <w:jc w:val="center"/>
            </w:pPr>
            <w:r w:rsidRPr="00215D69">
              <w:t xml:space="preserve">1 </w:t>
            </w:r>
            <w:proofErr w:type="spellStart"/>
            <w:r w:rsidRPr="00215D69">
              <w:t>konturdakı</w:t>
            </w:r>
            <w:proofErr w:type="spellEnd"/>
            <w:r w:rsidRPr="00215D69">
              <w:t xml:space="preserve"> </w:t>
            </w:r>
            <w:proofErr w:type="spellStart"/>
            <w:r w:rsidRPr="00215D69">
              <w:t>saniyələrin</w:t>
            </w:r>
            <w:proofErr w:type="spellEnd"/>
            <w:r w:rsidRPr="00215D69">
              <w:t xml:space="preserve"> </w:t>
            </w:r>
            <w:proofErr w:type="spellStart"/>
            <w:r w:rsidRPr="00215D69">
              <w:t>sayı</w:t>
            </w:r>
            <w:proofErr w:type="spellEnd"/>
          </w:p>
        </w:tc>
      </w:tr>
      <w:tr w:rsidR="00B14A89" w:rsidRPr="00215D69" w:rsidTr="00B14A89">
        <w:trPr>
          <w:tblCellSpacing w:w="0" w:type="dxa"/>
        </w:trPr>
        <w:tc>
          <w:tcPr>
            <w:tcW w:w="0" w:type="auto"/>
            <w:tcBorders>
              <w:top w:val="nil"/>
              <w:left w:val="nil"/>
              <w:bottom w:val="nil"/>
              <w:right w:val="nil"/>
            </w:tcBorders>
            <w:vAlign w:val="center"/>
          </w:tcPr>
          <w:p w:rsidR="00B14A89" w:rsidRPr="00215D69" w:rsidRDefault="00B14A89" w:rsidP="00B14A89">
            <w:pPr>
              <w:jc w:val="center"/>
            </w:pPr>
            <w:r w:rsidRPr="00215D69">
              <w:t> </w:t>
            </w:r>
          </w:p>
        </w:tc>
        <w:tc>
          <w:tcPr>
            <w:tcW w:w="0" w:type="auto"/>
            <w:tcBorders>
              <w:top w:val="nil"/>
              <w:left w:val="nil"/>
              <w:bottom w:val="nil"/>
              <w:right w:val="nil"/>
            </w:tcBorders>
            <w:vAlign w:val="center"/>
          </w:tcPr>
          <w:p w:rsidR="00B14A89" w:rsidRPr="00215D69" w:rsidRDefault="00B14A89" w:rsidP="00B14A89">
            <w:pPr>
              <w:jc w:val="center"/>
            </w:pPr>
            <w:r w:rsidRPr="00215D69">
              <w:t> </w:t>
            </w:r>
          </w:p>
        </w:tc>
        <w:tc>
          <w:tcPr>
            <w:tcW w:w="0" w:type="auto"/>
            <w:tcBorders>
              <w:top w:val="nil"/>
              <w:left w:val="nil"/>
              <w:bottom w:val="nil"/>
              <w:right w:val="nil"/>
            </w:tcBorders>
            <w:vAlign w:val="center"/>
          </w:tcPr>
          <w:p w:rsidR="00B14A89" w:rsidRPr="00215D69" w:rsidRDefault="00B14A89" w:rsidP="00B14A89">
            <w:pPr>
              <w:jc w:val="center"/>
            </w:pPr>
            <w:r w:rsidRPr="00215D69">
              <w:t> </w:t>
            </w:r>
          </w:p>
        </w:tc>
        <w:tc>
          <w:tcPr>
            <w:tcW w:w="0" w:type="auto"/>
            <w:tcBorders>
              <w:top w:val="nil"/>
              <w:left w:val="nil"/>
              <w:bottom w:val="nil"/>
              <w:right w:val="nil"/>
            </w:tcBorders>
            <w:vAlign w:val="center"/>
          </w:tcPr>
          <w:p w:rsidR="00B14A89" w:rsidRPr="00215D69" w:rsidRDefault="00B14A89" w:rsidP="00B14A89">
            <w:pPr>
              <w:jc w:val="center"/>
            </w:pPr>
            <w:r w:rsidRPr="00215D69">
              <w:t> </w:t>
            </w:r>
          </w:p>
        </w:tc>
        <w:tc>
          <w:tcPr>
            <w:tcW w:w="0" w:type="auto"/>
            <w:tcBorders>
              <w:top w:val="nil"/>
              <w:left w:val="nil"/>
              <w:bottom w:val="nil"/>
              <w:right w:val="nil"/>
            </w:tcBorders>
            <w:vAlign w:val="center"/>
          </w:tcPr>
          <w:p w:rsidR="00B14A89" w:rsidRPr="00215D69" w:rsidRDefault="00B14A89" w:rsidP="00B14A89">
            <w:pPr>
              <w:jc w:val="center"/>
            </w:pPr>
            <w:r w:rsidRPr="00215D69">
              <w:t> </w:t>
            </w:r>
          </w:p>
        </w:tc>
        <w:tc>
          <w:tcPr>
            <w:tcW w:w="0" w:type="auto"/>
            <w:tcBorders>
              <w:top w:val="nil"/>
              <w:left w:val="nil"/>
              <w:bottom w:val="nil"/>
              <w:right w:val="nil"/>
            </w:tcBorders>
            <w:vAlign w:val="center"/>
          </w:tcPr>
          <w:p w:rsidR="00B14A89" w:rsidRPr="00215D69" w:rsidRDefault="00B14A89" w:rsidP="00B14A89">
            <w:pPr>
              <w:jc w:val="center"/>
            </w:pPr>
            <w:r w:rsidRPr="00215D69">
              <w:t> </w:t>
            </w:r>
          </w:p>
        </w:tc>
      </w:tr>
      <w:tr w:rsidR="00B14A89" w:rsidRPr="00215D69" w:rsidTr="00B14A89">
        <w:trPr>
          <w:tblCellSpacing w:w="0" w:type="dxa"/>
        </w:trPr>
        <w:tc>
          <w:tcPr>
            <w:tcW w:w="0" w:type="auto"/>
            <w:tcBorders>
              <w:top w:val="nil"/>
              <w:left w:val="nil"/>
              <w:bottom w:val="nil"/>
              <w:right w:val="nil"/>
            </w:tcBorders>
            <w:vAlign w:val="center"/>
          </w:tcPr>
          <w:p w:rsidR="00B14A89" w:rsidRPr="00215D69" w:rsidRDefault="00B14A89" w:rsidP="00B14A89">
            <w:pPr>
              <w:jc w:val="center"/>
            </w:pPr>
            <w:r w:rsidRPr="00215D69">
              <w:t>1.</w:t>
            </w:r>
          </w:p>
        </w:tc>
        <w:tc>
          <w:tcPr>
            <w:tcW w:w="0" w:type="auto"/>
            <w:tcBorders>
              <w:top w:val="nil"/>
              <w:left w:val="nil"/>
              <w:bottom w:val="nil"/>
              <w:right w:val="nil"/>
            </w:tcBorders>
            <w:vAlign w:val="center"/>
          </w:tcPr>
          <w:p w:rsidR="00B14A89" w:rsidRPr="00215D69" w:rsidRDefault="00B14A89" w:rsidP="00B14A89">
            <w:pPr>
              <w:jc w:val="center"/>
            </w:pPr>
            <w:r w:rsidRPr="00215D69">
              <w:t xml:space="preserve">MDB </w:t>
            </w:r>
            <w:proofErr w:type="spellStart"/>
            <w:r w:rsidRPr="00215D69">
              <w:t>və</w:t>
            </w:r>
            <w:proofErr w:type="spellEnd"/>
            <w:r w:rsidRPr="00215D69">
              <w:t xml:space="preserve"> </w:t>
            </w:r>
            <w:proofErr w:type="spellStart"/>
            <w:r w:rsidRPr="00215D69">
              <w:t>Baltikyanı</w:t>
            </w:r>
            <w:proofErr w:type="spellEnd"/>
            <w:r w:rsidRPr="00215D69">
              <w:t xml:space="preserve"> </w:t>
            </w:r>
            <w:proofErr w:type="spellStart"/>
            <w:r w:rsidRPr="00215D69">
              <w:t>ölkələr</w:t>
            </w:r>
            <w:proofErr w:type="spellEnd"/>
          </w:p>
        </w:tc>
        <w:tc>
          <w:tcPr>
            <w:tcW w:w="0" w:type="auto"/>
            <w:tcBorders>
              <w:top w:val="nil"/>
              <w:left w:val="nil"/>
              <w:bottom w:val="nil"/>
              <w:right w:val="nil"/>
            </w:tcBorders>
            <w:vAlign w:val="center"/>
          </w:tcPr>
          <w:p w:rsidR="00B14A89" w:rsidRPr="00215D69" w:rsidRDefault="00B14A89" w:rsidP="00B14A89">
            <w:pPr>
              <w:jc w:val="center"/>
            </w:pPr>
            <w:r w:rsidRPr="00215D69">
              <w:t>36</w:t>
            </w:r>
          </w:p>
        </w:tc>
        <w:tc>
          <w:tcPr>
            <w:tcW w:w="0" w:type="auto"/>
            <w:tcBorders>
              <w:top w:val="nil"/>
              <w:left w:val="nil"/>
              <w:bottom w:val="nil"/>
              <w:right w:val="nil"/>
            </w:tcBorders>
            <w:vAlign w:val="center"/>
          </w:tcPr>
          <w:p w:rsidR="00B14A89" w:rsidRPr="00215D69" w:rsidRDefault="00B14A89" w:rsidP="00B14A89">
            <w:pPr>
              <w:jc w:val="center"/>
            </w:pPr>
            <w:r w:rsidRPr="00215D69">
              <w:t>60</w:t>
            </w:r>
          </w:p>
        </w:tc>
        <w:tc>
          <w:tcPr>
            <w:tcW w:w="0" w:type="auto"/>
            <w:tcBorders>
              <w:top w:val="nil"/>
              <w:left w:val="nil"/>
              <w:bottom w:val="nil"/>
              <w:right w:val="nil"/>
            </w:tcBorders>
            <w:vAlign w:val="center"/>
          </w:tcPr>
          <w:p w:rsidR="00B14A89" w:rsidRPr="00215D69" w:rsidRDefault="00B14A89" w:rsidP="00B14A89">
            <w:pPr>
              <w:jc w:val="center"/>
            </w:pPr>
            <w:r w:rsidRPr="00215D69">
              <w:t>0,60</w:t>
            </w:r>
          </w:p>
        </w:tc>
        <w:tc>
          <w:tcPr>
            <w:tcW w:w="0" w:type="auto"/>
            <w:tcBorders>
              <w:top w:val="nil"/>
              <w:left w:val="nil"/>
              <w:bottom w:val="nil"/>
              <w:right w:val="nil"/>
            </w:tcBorders>
            <w:vAlign w:val="center"/>
          </w:tcPr>
          <w:p w:rsidR="00B14A89" w:rsidRPr="00215D69" w:rsidRDefault="00B14A89" w:rsidP="00B14A89">
            <w:pPr>
              <w:jc w:val="center"/>
            </w:pPr>
            <w:r w:rsidRPr="00215D69">
              <w:t>1</w:t>
            </w:r>
          </w:p>
        </w:tc>
      </w:tr>
      <w:tr w:rsidR="00B14A89" w:rsidRPr="00215D69" w:rsidTr="00B14A89">
        <w:trPr>
          <w:tblCellSpacing w:w="0" w:type="dxa"/>
        </w:trPr>
        <w:tc>
          <w:tcPr>
            <w:tcW w:w="0" w:type="auto"/>
            <w:tcBorders>
              <w:top w:val="nil"/>
              <w:left w:val="nil"/>
              <w:bottom w:val="nil"/>
              <w:right w:val="nil"/>
            </w:tcBorders>
            <w:vAlign w:val="center"/>
          </w:tcPr>
          <w:p w:rsidR="00B14A89" w:rsidRPr="00215D69" w:rsidRDefault="00B14A89" w:rsidP="00B14A89">
            <w:pPr>
              <w:jc w:val="center"/>
            </w:pPr>
            <w:r w:rsidRPr="00215D69">
              <w:t>2.</w:t>
            </w:r>
          </w:p>
        </w:tc>
        <w:tc>
          <w:tcPr>
            <w:tcW w:w="0" w:type="auto"/>
            <w:tcBorders>
              <w:top w:val="nil"/>
              <w:left w:val="nil"/>
              <w:bottom w:val="nil"/>
              <w:right w:val="nil"/>
            </w:tcBorders>
            <w:vAlign w:val="center"/>
          </w:tcPr>
          <w:p w:rsidR="00B14A89" w:rsidRPr="00215D69" w:rsidRDefault="00B14A89" w:rsidP="00B14A89">
            <w:pPr>
              <w:jc w:val="center"/>
            </w:pPr>
            <w:proofErr w:type="spellStart"/>
            <w:r w:rsidRPr="00215D69">
              <w:t>İran</w:t>
            </w:r>
            <w:proofErr w:type="spellEnd"/>
            <w:r w:rsidRPr="00215D69">
              <w:t>,</w:t>
            </w:r>
            <w:proofErr w:type="spellStart"/>
            <w:r w:rsidRPr="00215D69">
              <w:t>Türkiyə</w:t>
            </w:r>
            <w:proofErr w:type="spellEnd"/>
            <w:r w:rsidRPr="00215D69">
              <w:t xml:space="preserve">, </w:t>
            </w:r>
            <w:proofErr w:type="spellStart"/>
            <w:r w:rsidRPr="00215D69">
              <w:t>Pakistan</w:t>
            </w:r>
            <w:proofErr w:type="spellEnd"/>
          </w:p>
        </w:tc>
        <w:tc>
          <w:tcPr>
            <w:tcW w:w="0" w:type="auto"/>
            <w:tcBorders>
              <w:top w:val="nil"/>
              <w:left w:val="nil"/>
              <w:bottom w:val="nil"/>
              <w:right w:val="nil"/>
            </w:tcBorders>
            <w:vAlign w:val="center"/>
          </w:tcPr>
          <w:p w:rsidR="00B14A89" w:rsidRPr="00215D69" w:rsidRDefault="00B14A89" w:rsidP="00B14A89">
            <w:pPr>
              <w:jc w:val="center"/>
            </w:pPr>
            <w:r w:rsidRPr="00215D69">
              <w:t>45</w:t>
            </w:r>
          </w:p>
        </w:tc>
        <w:tc>
          <w:tcPr>
            <w:tcW w:w="0" w:type="auto"/>
            <w:tcBorders>
              <w:top w:val="nil"/>
              <w:left w:val="nil"/>
              <w:bottom w:val="nil"/>
              <w:right w:val="nil"/>
            </w:tcBorders>
            <w:vAlign w:val="center"/>
          </w:tcPr>
          <w:p w:rsidR="00B14A89" w:rsidRPr="00215D69" w:rsidRDefault="00B14A89" w:rsidP="00B14A89">
            <w:pPr>
              <w:jc w:val="center"/>
            </w:pPr>
            <w:r w:rsidRPr="00215D69">
              <w:t>60</w:t>
            </w:r>
          </w:p>
        </w:tc>
        <w:tc>
          <w:tcPr>
            <w:tcW w:w="0" w:type="auto"/>
            <w:tcBorders>
              <w:top w:val="nil"/>
              <w:left w:val="nil"/>
              <w:bottom w:val="nil"/>
              <w:right w:val="nil"/>
            </w:tcBorders>
            <w:vAlign w:val="center"/>
          </w:tcPr>
          <w:p w:rsidR="00B14A89" w:rsidRPr="00215D69" w:rsidRDefault="00B14A89" w:rsidP="00B14A89">
            <w:pPr>
              <w:jc w:val="center"/>
            </w:pPr>
            <w:r w:rsidRPr="00215D69">
              <w:t>0,75</w:t>
            </w:r>
          </w:p>
        </w:tc>
        <w:tc>
          <w:tcPr>
            <w:tcW w:w="0" w:type="auto"/>
            <w:tcBorders>
              <w:top w:val="nil"/>
              <w:left w:val="nil"/>
              <w:bottom w:val="nil"/>
              <w:right w:val="nil"/>
            </w:tcBorders>
            <w:vAlign w:val="center"/>
          </w:tcPr>
          <w:p w:rsidR="00B14A89" w:rsidRPr="00215D69" w:rsidRDefault="00B14A89" w:rsidP="00B14A89">
            <w:pPr>
              <w:jc w:val="center"/>
            </w:pPr>
            <w:r w:rsidRPr="00215D69">
              <w:t>1</w:t>
            </w:r>
          </w:p>
        </w:tc>
      </w:tr>
      <w:tr w:rsidR="00B14A89" w:rsidRPr="00215D69" w:rsidTr="00B14A89">
        <w:trPr>
          <w:tblCellSpacing w:w="0" w:type="dxa"/>
        </w:trPr>
        <w:tc>
          <w:tcPr>
            <w:tcW w:w="0" w:type="auto"/>
            <w:tcBorders>
              <w:top w:val="nil"/>
              <w:left w:val="nil"/>
              <w:bottom w:val="nil"/>
              <w:right w:val="nil"/>
            </w:tcBorders>
            <w:vAlign w:val="center"/>
          </w:tcPr>
          <w:p w:rsidR="00B14A89" w:rsidRPr="00215D69" w:rsidRDefault="00B14A89" w:rsidP="00B14A89">
            <w:pPr>
              <w:jc w:val="center"/>
            </w:pPr>
            <w:r w:rsidRPr="00215D69">
              <w:t>3.</w:t>
            </w:r>
          </w:p>
        </w:tc>
        <w:tc>
          <w:tcPr>
            <w:tcW w:w="0" w:type="auto"/>
            <w:tcBorders>
              <w:top w:val="nil"/>
              <w:left w:val="nil"/>
              <w:bottom w:val="nil"/>
              <w:right w:val="nil"/>
            </w:tcBorders>
            <w:vAlign w:val="center"/>
          </w:tcPr>
          <w:p w:rsidR="00B14A89" w:rsidRPr="00215D69" w:rsidRDefault="00B14A89" w:rsidP="00B14A89">
            <w:pPr>
              <w:jc w:val="center"/>
              <w:rPr>
                <w:lang w:val="de-DE"/>
              </w:rPr>
            </w:pPr>
            <w:r w:rsidRPr="00215D69">
              <w:rPr>
                <w:lang w:val="de-DE"/>
              </w:rPr>
              <w:t>Avropa, Amerika və digər ölkələr</w:t>
            </w:r>
          </w:p>
        </w:tc>
        <w:tc>
          <w:tcPr>
            <w:tcW w:w="0" w:type="auto"/>
            <w:tcBorders>
              <w:top w:val="nil"/>
              <w:left w:val="nil"/>
              <w:bottom w:val="nil"/>
              <w:right w:val="nil"/>
            </w:tcBorders>
            <w:vAlign w:val="center"/>
          </w:tcPr>
          <w:p w:rsidR="00B14A89" w:rsidRPr="00215D69" w:rsidRDefault="00B14A89" w:rsidP="00B14A89">
            <w:pPr>
              <w:jc w:val="center"/>
            </w:pPr>
            <w:r w:rsidRPr="00215D69">
              <w:t>54</w:t>
            </w:r>
          </w:p>
        </w:tc>
        <w:tc>
          <w:tcPr>
            <w:tcW w:w="0" w:type="auto"/>
            <w:tcBorders>
              <w:top w:val="nil"/>
              <w:left w:val="nil"/>
              <w:bottom w:val="nil"/>
              <w:right w:val="nil"/>
            </w:tcBorders>
            <w:vAlign w:val="center"/>
          </w:tcPr>
          <w:p w:rsidR="00B14A89" w:rsidRPr="00215D69" w:rsidRDefault="00B14A89" w:rsidP="00B14A89">
            <w:pPr>
              <w:jc w:val="center"/>
            </w:pPr>
            <w:r w:rsidRPr="00215D69">
              <w:t>60</w:t>
            </w:r>
          </w:p>
        </w:tc>
        <w:tc>
          <w:tcPr>
            <w:tcW w:w="0" w:type="auto"/>
            <w:tcBorders>
              <w:top w:val="nil"/>
              <w:left w:val="nil"/>
              <w:bottom w:val="nil"/>
              <w:right w:val="nil"/>
            </w:tcBorders>
            <w:vAlign w:val="center"/>
          </w:tcPr>
          <w:p w:rsidR="00B14A89" w:rsidRPr="00215D69" w:rsidRDefault="00B14A89" w:rsidP="00B14A89">
            <w:pPr>
              <w:jc w:val="center"/>
            </w:pPr>
            <w:r w:rsidRPr="00215D69">
              <w:t>0,90</w:t>
            </w:r>
          </w:p>
        </w:tc>
        <w:tc>
          <w:tcPr>
            <w:tcW w:w="0" w:type="auto"/>
            <w:tcBorders>
              <w:top w:val="nil"/>
              <w:left w:val="nil"/>
              <w:bottom w:val="nil"/>
              <w:right w:val="nil"/>
            </w:tcBorders>
            <w:vAlign w:val="center"/>
          </w:tcPr>
          <w:p w:rsidR="00B14A89" w:rsidRPr="00215D69" w:rsidRDefault="00B14A89" w:rsidP="00B14A89">
            <w:pPr>
              <w:jc w:val="center"/>
            </w:pPr>
            <w:r w:rsidRPr="00215D69">
              <w:t>1</w:t>
            </w:r>
          </w:p>
        </w:tc>
      </w:tr>
    </w:tbl>
    <w:p w:rsidR="00E833D9" w:rsidRDefault="00E833D9" w:rsidP="00B14A89">
      <w:pPr>
        <w:jc w:val="center"/>
        <w:rPr>
          <w:b/>
          <w:bCs/>
          <w:lang w:val="az-Latn-AZ"/>
        </w:rPr>
      </w:pPr>
    </w:p>
    <w:p w:rsidR="00914E1F" w:rsidRPr="00E833D9" w:rsidRDefault="00914E1F" w:rsidP="00E833D9">
      <w:pPr>
        <w:jc w:val="both"/>
        <w:rPr>
          <w:color w:val="000000"/>
          <w:sz w:val="27"/>
          <w:szCs w:val="27"/>
          <w:lang w:val="az-Latn-AZ"/>
        </w:rPr>
      </w:pPr>
      <w:r>
        <w:rPr>
          <w:rFonts w:ascii="Palatino Linotype" w:hAnsi="Palatino Linotype"/>
          <w:color w:val="000000"/>
          <w:sz w:val="22"/>
          <w:szCs w:val="22"/>
          <w:lang w:val="az-Latn-AZ"/>
        </w:rPr>
        <w:t xml:space="preserve">Şəhərlərarası və beynəlxalq telefon danışıqları üçün (taksofonlar istisna olmaqla) müəyyən olunmuş tariflərə həftənin iş günləri, şənbə bazar və bayram günləri saat </w:t>
      </w:r>
      <w:proofErr w:type="spellStart"/>
      <w:r>
        <w:rPr>
          <w:rFonts w:ascii="Palatino Linotype" w:hAnsi="Palatino Linotype"/>
          <w:color w:val="000000"/>
          <w:sz w:val="22"/>
          <w:szCs w:val="22"/>
          <w:lang w:val="az-Latn-AZ"/>
        </w:rPr>
        <w:t>00:00-dan</w:t>
      </w:r>
      <w:proofErr w:type="spellEnd"/>
      <w:r>
        <w:rPr>
          <w:rFonts w:ascii="Palatino Linotype" w:hAnsi="Palatino Linotype"/>
          <w:color w:val="000000"/>
          <w:sz w:val="22"/>
          <w:szCs w:val="22"/>
          <w:lang w:val="az-Latn-AZ"/>
        </w:rPr>
        <w:t xml:space="preserve"> </w:t>
      </w:r>
      <w:proofErr w:type="spellStart"/>
      <w:r>
        <w:rPr>
          <w:rFonts w:ascii="Palatino Linotype" w:hAnsi="Palatino Linotype"/>
          <w:color w:val="000000"/>
          <w:sz w:val="22"/>
          <w:szCs w:val="22"/>
          <w:lang w:val="az-Latn-AZ"/>
        </w:rPr>
        <w:t>08:00-dək</w:t>
      </w:r>
      <w:proofErr w:type="spellEnd"/>
      <w:r>
        <w:rPr>
          <w:rFonts w:ascii="Palatino Linotype" w:hAnsi="Palatino Linotype"/>
          <w:color w:val="000000"/>
          <w:sz w:val="22"/>
          <w:szCs w:val="22"/>
          <w:lang w:val="az-Latn-AZ"/>
        </w:rPr>
        <w:t xml:space="preserve"> 25% güzəşt tətbiq olunur;</w:t>
      </w:r>
    </w:p>
    <w:p w:rsidR="00914E1F" w:rsidRPr="00E833D9" w:rsidRDefault="00914E1F" w:rsidP="00E833D9">
      <w:pPr>
        <w:jc w:val="both"/>
        <w:rPr>
          <w:color w:val="000000"/>
          <w:sz w:val="27"/>
          <w:szCs w:val="27"/>
          <w:lang w:val="az-Latn-AZ"/>
        </w:rPr>
      </w:pPr>
      <w:r>
        <w:rPr>
          <w:rFonts w:ascii="Palatino Linotype" w:hAnsi="Palatino Linotype"/>
          <w:color w:val="000000"/>
          <w:sz w:val="22"/>
          <w:szCs w:val="22"/>
          <w:lang w:val="az-Latn-AZ"/>
        </w:rPr>
        <w:t>İP telefoniya ilə («000» kodu yığmaqla) aparılan beynəlxalq danışıqlar üçün tariflər sabit şəbəkə telefonlarından aparılan danışıq tariflərinə 50% güzəşt tətbiq edilməklə müəyyən olunur;</w:t>
      </w:r>
    </w:p>
    <w:p w:rsidR="00914E1F" w:rsidRPr="00E833D9" w:rsidRDefault="00914E1F" w:rsidP="00E833D9">
      <w:pPr>
        <w:jc w:val="both"/>
        <w:rPr>
          <w:color w:val="000000"/>
          <w:sz w:val="27"/>
          <w:szCs w:val="27"/>
          <w:lang w:val="az-Latn-AZ"/>
        </w:rPr>
      </w:pPr>
      <w:r>
        <w:rPr>
          <w:rFonts w:ascii="Palatino Linotype" w:hAnsi="Palatino Linotype"/>
          <w:color w:val="000000"/>
          <w:sz w:val="22"/>
          <w:szCs w:val="22"/>
          <w:lang w:val="az-Latn-AZ"/>
        </w:rPr>
        <w:t>Kartlı taksofonlardan aparılan beynəlxalq danışıqlar üçün kontur hesabı yuxarıda göstərilən tariflərə uyğun olaraq rabitə müəssisələri tərəfindən müəyyən olunur;</w:t>
      </w:r>
    </w:p>
    <w:p w:rsidR="00914E1F" w:rsidRPr="00E833D9" w:rsidRDefault="00914E1F" w:rsidP="00E833D9">
      <w:pPr>
        <w:jc w:val="both"/>
        <w:rPr>
          <w:color w:val="000000"/>
          <w:sz w:val="27"/>
          <w:szCs w:val="27"/>
          <w:lang w:val="az-Latn-AZ"/>
        </w:rPr>
      </w:pPr>
      <w:r>
        <w:rPr>
          <w:rFonts w:ascii="Palatino Linotype" w:hAnsi="Palatino Linotype"/>
          <w:color w:val="000000"/>
          <w:sz w:val="22"/>
          <w:szCs w:val="22"/>
          <w:lang w:val="az-Latn-AZ"/>
        </w:rPr>
        <w:t>«107» xidmət sahəsi vasitəsilə aparılan hər bir şəhərlərarası və beynəlxalq telefon danışığı üçün Bakı, Sumqayıt, Gəncə, Mingəçevir, Əli Bayramlı, Naftalan şəhərlərində, Naxçıvan Muxtar Respublikası ərazisində və rayon mərkəzlərində 20 qəpik, kənd yerlərində isə 5 qəpik əlavə xidmət haqqı hesablanır;</w:t>
      </w:r>
    </w:p>
    <w:p w:rsidR="00914E1F" w:rsidRPr="00E833D9" w:rsidRDefault="00914E1F" w:rsidP="00E833D9">
      <w:pPr>
        <w:jc w:val="both"/>
        <w:rPr>
          <w:color w:val="000000"/>
          <w:sz w:val="27"/>
          <w:szCs w:val="27"/>
          <w:lang w:val="az-Latn-AZ"/>
        </w:rPr>
      </w:pPr>
      <w:r>
        <w:rPr>
          <w:rFonts w:ascii="Palatino Linotype" w:hAnsi="Palatino Linotype"/>
          <w:color w:val="000000"/>
          <w:sz w:val="22"/>
          <w:szCs w:val="22"/>
          <w:lang w:val="az-Latn-AZ"/>
        </w:rPr>
        <w:t>Rəsmi bayram günlərində sabit şəbəkə operatorları maliyyə imkanları daxilində beynəlxalq telefon danışıqlarının tariflərinə müəyyən güzəştlər tətbiq edə bilərlər.</w:t>
      </w:r>
    </w:p>
    <w:p w:rsidR="00B14A89" w:rsidRDefault="00B14A89">
      <w:pPr>
        <w:rPr>
          <w:lang w:val="az-Latn-AZ"/>
        </w:rPr>
      </w:pPr>
    </w:p>
    <w:p w:rsidR="00E833D9" w:rsidRDefault="00E833D9">
      <w:pPr>
        <w:rPr>
          <w:lang w:val="az-Latn-AZ"/>
        </w:rPr>
      </w:pPr>
    </w:p>
    <w:p w:rsidR="001E66DA" w:rsidRPr="00796B56" w:rsidRDefault="001E66DA" w:rsidP="001E66DA">
      <w:pPr>
        <w:jc w:val="both"/>
        <w:rPr>
          <w:lang w:val="az-Latn-AZ"/>
        </w:rPr>
      </w:pPr>
      <w:r w:rsidRPr="00796B56">
        <w:rPr>
          <w:b/>
          <w:bCs/>
          <w:lang w:val="az-Latn-AZ"/>
        </w:rPr>
        <w:t>Qeyd:</w:t>
      </w:r>
      <w:r w:rsidRPr="00796B56">
        <w:rPr>
          <w:lang w:val="az-Latn-AZ"/>
        </w:rPr>
        <w:t> </w:t>
      </w:r>
      <w:r w:rsidRPr="00796B56">
        <w:rPr>
          <w:i/>
          <w:iCs/>
          <w:lang w:val="az-Latn-AZ"/>
        </w:rPr>
        <w:t xml:space="preserve">Azərbaycan Respublikasının Tarif (Qiymət) Şurasının </w:t>
      </w:r>
      <w:r w:rsidRPr="001E66DA">
        <w:rPr>
          <w:rFonts w:ascii="Palatino Linotype" w:hAnsi="Palatino Linotype"/>
          <w:color w:val="000000"/>
          <w:sz w:val="18"/>
          <w:szCs w:val="18"/>
          <w:lang w:val="az-Latn-AZ"/>
        </w:rPr>
        <w:t>13 may 2007-ci il</w:t>
      </w:r>
      <w:r>
        <w:rPr>
          <w:rFonts w:ascii="Palatino Linotype" w:hAnsi="Palatino Linotype"/>
          <w:color w:val="000000"/>
          <w:sz w:val="18"/>
          <w:szCs w:val="18"/>
          <w:lang w:val="az-Latn-AZ"/>
        </w:rPr>
        <w:t xml:space="preserve"> </w:t>
      </w:r>
      <w:r w:rsidRPr="00796B56">
        <w:rPr>
          <w:i/>
          <w:iCs/>
          <w:lang w:val="az-Latn-AZ"/>
        </w:rPr>
        <w:t>tarixli 1</w:t>
      </w:r>
      <w:r>
        <w:rPr>
          <w:i/>
          <w:iCs/>
          <w:lang w:val="az-Latn-AZ"/>
        </w:rPr>
        <w:t>4</w:t>
      </w:r>
      <w:r w:rsidRPr="00796B56">
        <w:rPr>
          <w:i/>
          <w:iCs/>
          <w:lang w:val="az-Latn-AZ"/>
        </w:rPr>
        <w:t xml:space="preserve"> saylı Qərarı ilə təsdiq edilib və </w:t>
      </w:r>
      <w:r>
        <w:rPr>
          <w:i/>
          <w:iCs/>
          <w:lang w:val="az-Latn-AZ"/>
        </w:rPr>
        <w:t>1 iyun</w:t>
      </w:r>
      <w:r w:rsidRPr="00796B56">
        <w:rPr>
          <w:i/>
          <w:iCs/>
          <w:lang w:val="az-Latn-AZ"/>
        </w:rPr>
        <w:t xml:space="preserve"> 2007-c</w:t>
      </w:r>
      <w:r>
        <w:rPr>
          <w:i/>
          <w:iCs/>
          <w:lang w:val="az-Latn-AZ"/>
        </w:rPr>
        <w:t>i</w:t>
      </w:r>
      <w:r w:rsidRPr="00796B56">
        <w:rPr>
          <w:i/>
          <w:iCs/>
          <w:lang w:val="az-Latn-AZ"/>
        </w:rPr>
        <w:t xml:space="preserve"> ildən qüvvədədir</w:t>
      </w:r>
      <w:r>
        <w:rPr>
          <w:i/>
          <w:iCs/>
          <w:lang w:val="az-Latn-AZ"/>
        </w:rPr>
        <w:t>.</w:t>
      </w:r>
    </w:p>
    <w:p w:rsidR="00E833D9" w:rsidRPr="00E833D9" w:rsidRDefault="00E833D9">
      <w:pPr>
        <w:rPr>
          <w:lang w:val="az-Latn-AZ"/>
        </w:rPr>
      </w:pPr>
    </w:p>
    <w:sectPr w:rsidR="00E833D9" w:rsidRPr="00E83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89"/>
    <w:rsid w:val="001E66DA"/>
    <w:rsid w:val="00914E1F"/>
    <w:rsid w:val="00AB5F14"/>
    <w:rsid w:val="00B14A89"/>
    <w:rsid w:val="00CE4BD8"/>
    <w:rsid w:val="00E8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A89"/>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A89"/>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Sabit şəbəkə telefonlarından beynəlxalq telefon danışıqlarının tarifləri</vt:lpstr>
    </vt:vector>
  </TitlesOfParts>
  <Company>@</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Sabit şəbəkə telefonlarından beynəlxalq telefon danışıqlarının tarifləri</dc:title>
  <dc:creator>nz</dc:creator>
  <cp:lastModifiedBy>nz</cp:lastModifiedBy>
  <cp:revision>1</cp:revision>
  <dcterms:created xsi:type="dcterms:W3CDTF">2013-02-05T20:37:00Z</dcterms:created>
  <dcterms:modified xsi:type="dcterms:W3CDTF">2013-02-05T20:38:00Z</dcterms:modified>
</cp:coreProperties>
</file>